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8F1064" w14:textId="77777777" w:rsidR="002245BB" w:rsidRPr="0089690C" w:rsidRDefault="002C337D">
      <w:pPr>
        <w:rPr>
          <w:lang w:val="pt-BR"/>
        </w:rPr>
      </w:pPr>
      <w:r w:rsidRPr="0089690C">
        <w:rPr>
          <w:lang w:val="pt-BR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25BF003" wp14:editId="0C13840D">
            <wp:simplePos x="0" y="0"/>
            <wp:positionH relativeFrom="column">
              <wp:posOffset>22236</wp:posOffset>
            </wp:positionH>
            <wp:positionV relativeFrom="paragraph">
              <wp:posOffset>0</wp:posOffset>
            </wp:positionV>
            <wp:extent cx="1905000" cy="1057275"/>
            <wp:effectExtent l="0" t="0" r="0" b="0"/>
            <wp:wrapSquare wrapText="bothSides" distT="0" distB="0" distL="114300" distR="11430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17276" t="30034" r="17276" b="321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74B4A1" w14:textId="77777777" w:rsidR="002245BB" w:rsidRPr="0089690C" w:rsidRDefault="002C337D">
      <w:pPr>
        <w:jc w:val="center"/>
        <w:rPr>
          <w:rFonts w:ascii="Calibri" w:eastAsia="Calibri" w:hAnsi="Calibri" w:cs="Calibri"/>
          <w:b/>
          <w:bCs/>
          <w:sz w:val="32"/>
          <w:szCs w:val="32"/>
          <w:lang w:val="pt-BR"/>
        </w:rPr>
      </w:pPr>
      <w:r w:rsidRPr="0089690C">
        <w:rPr>
          <w:rFonts w:ascii="Calibri" w:eastAsia="Calibri" w:hAnsi="Calibri" w:cs="Calibri"/>
          <w:b/>
          <w:bCs/>
          <w:sz w:val="32"/>
          <w:szCs w:val="32"/>
          <w:lang w:val="pt-BR"/>
        </w:rPr>
        <w:t>RELATÓRIO DA ANÁLISE DE BIORRESSONÂNCIA</w:t>
      </w:r>
    </w:p>
    <w:p w14:paraId="3F425855" w14:textId="553961C6" w:rsidR="002245BB" w:rsidRPr="0089690C" w:rsidRDefault="0089690C">
      <w:pPr>
        <w:jc w:val="center"/>
        <w:rPr>
          <w:rFonts w:ascii="Calibri" w:eastAsia="Calibri" w:hAnsi="Calibri" w:cs="Calibri"/>
          <w:b/>
          <w:bCs/>
          <w:sz w:val="32"/>
          <w:szCs w:val="32"/>
          <w:lang w:val="pt-BR"/>
        </w:rPr>
      </w:pPr>
      <w:r w:rsidRPr="0089690C">
        <w:rPr>
          <w:rFonts w:ascii="Calibri" w:eastAsia="Calibri" w:hAnsi="Calibri" w:cs="Calibri"/>
          <w:b/>
          <w:bCs/>
          <w:sz w:val="32"/>
          <w:szCs w:val="32"/>
          <w:lang w:val="pt-BR"/>
        </w:rPr>
        <w:t>{</w:t>
      </w:r>
      <w:r>
        <w:rPr>
          <w:rFonts w:ascii="Calibri" w:eastAsia="Calibri" w:hAnsi="Calibri" w:cs="Calibri"/>
          <w:b/>
          <w:bCs/>
          <w:sz w:val="32"/>
          <w:szCs w:val="32"/>
          <w:lang w:val="pt-BR"/>
        </w:rPr>
        <w:t>{name}}</w:t>
      </w:r>
    </w:p>
    <w:p w14:paraId="6F439888" w14:textId="25C45FF8" w:rsidR="002245BB" w:rsidRPr="00900B74" w:rsidRDefault="002C337D" w:rsidP="00900B74">
      <w:pPr>
        <w:pStyle w:val="PargrafodaLista"/>
        <w:numPr>
          <w:ilvl w:val="0"/>
          <w:numId w:val="2"/>
        </w:numPr>
        <w:rPr>
          <w:rFonts w:ascii="Calibri" w:eastAsia="Calibri" w:hAnsi="Calibri" w:cs="Calibri"/>
          <w:b/>
          <w:bCs/>
        </w:rPr>
      </w:pPr>
      <w:bookmarkStart w:id="0" w:name="_heading=h.1c1ocwgpu34w" w:colFirst="0" w:colLast="0"/>
      <w:bookmarkEnd w:id="0"/>
      <w:r w:rsidRPr="00900B74">
        <w:rPr>
          <w:rFonts w:ascii="Calibri" w:eastAsia="Calibri" w:hAnsi="Calibri" w:cs="Calibri"/>
          <w:b/>
          <w:bCs/>
        </w:rPr>
        <w:t>ANÁLISE BIOENERGÉTICA</w:t>
      </w:r>
    </w:p>
    <w:p w14:paraId="0F3F8994" w14:textId="77777777" w:rsidR="002245BB" w:rsidRPr="0089690C" w:rsidRDefault="002C337D">
      <w:pPr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A análise de biorressonância realizada por sistemas como Prosync, Oberon ou Meta Hunter, não substitui o diagnóstico clínico.  Tem como propósito identificar padrões de frequência emitidos pelos tecidos e órgãos do corpo. Cada célula, estrutura ou microrganismo vibra dentro de uma faixa específica, e esses sistemas comparam essas assinaturas com bancos de dados de laboratórios que realizam medições biofísicas</w:t>
      </w:r>
      <w:r w:rsidRPr="0089690C">
        <w:rPr>
          <w:rFonts w:ascii="Calibri" w:eastAsia="Calibri" w:hAnsi="Calibri" w:cs="Calibri"/>
          <w:b/>
          <w:bCs/>
          <w:lang w:val="pt-BR"/>
        </w:rPr>
        <w:t xml:space="preserve">  ut</w:t>
      </w:r>
      <w:r w:rsidRPr="0089690C">
        <w:rPr>
          <w:rFonts w:ascii="Calibri" w:eastAsia="Calibri" w:hAnsi="Calibri" w:cs="Calibri"/>
          <w:lang w:val="pt-BR"/>
        </w:rPr>
        <w:t>ilizando equipamentos de espectroscopia e detecção eletromagnética.</w:t>
      </w:r>
    </w:p>
    <w:p w14:paraId="138DA319" w14:textId="77777777" w:rsidR="002245BB" w:rsidRDefault="002C337D">
      <w:pPr>
        <w:rPr>
          <w:rFonts w:ascii="Calibri" w:eastAsia="Calibri" w:hAnsi="Calibri" w:cs="Calibri"/>
        </w:rPr>
      </w:pPr>
      <w:r w:rsidRPr="0089690C">
        <w:rPr>
          <w:rFonts w:ascii="Calibri" w:eastAsia="Calibri" w:hAnsi="Calibri" w:cs="Calibri"/>
          <w:lang w:val="pt-BR"/>
        </w:rPr>
        <w:t xml:space="preserve">Quando há incongruência entre a frequência ideal e a frequência detectada, o software registra um “desvio” — frequentemente interpretado como resposta inflamatória, estresse celular ou presença de agentes biológicos.  </w:t>
      </w:r>
      <w:r>
        <w:rPr>
          <w:rFonts w:ascii="Calibri" w:eastAsia="Calibri" w:hAnsi="Calibri" w:cs="Calibri"/>
        </w:rPr>
        <w:t>Assim, este relatório tem como objetivos:</w:t>
      </w:r>
    </w:p>
    <w:p w14:paraId="3BB6AFA1" w14:textId="77777777" w:rsidR="002245BB" w:rsidRPr="0089690C" w:rsidRDefault="002C33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lang w:val="pt-BR"/>
        </w:rPr>
      </w:pPr>
      <w:r w:rsidRPr="0089690C">
        <w:rPr>
          <w:rFonts w:ascii="Calibri" w:eastAsia="Calibri" w:hAnsi="Calibri" w:cs="Calibri"/>
          <w:color w:val="000000"/>
          <w:lang w:val="pt-BR"/>
        </w:rPr>
        <w:t>Esclarecer os elementos que mostram ressonância no seu corpo;</w:t>
      </w:r>
    </w:p>
    <w:p w14:paraId="6A7C7A25" w14:textId="77777777" w:rsidR="002245BB" w:rsidRPr="0089690C" w:rsidRDefault="002C33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lang w:val="pt-BR"/>
        </w:rPr>
      </w:pPr>
      <w:r w:rsidRPr="0089690C">
        <w:rPr>
          <w:rFonts w:ascii="Calibri" w:eastAsia="Calibri" w:hAnsi="Calibri" w:cs="Calibri"/>
          <w:color w:val="000000"/>
          <w:lang w:val="pt-BR"/>
        </w:rPr>
        <w:t>Apresentar os possíveis efeitos associados;</w:t>
      </w:r>
    </w:p>
    <w:p w14:paraId="4466C24C" w14:textId="77777777" w:rsidR="002245BB" w:rsidRPr="0089690C" w:rsidRDefault="002C33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lang w:val="pt-BR"/>
        </w:rPr>
      </w:pPr>
      <w:r w:rsidRPr="0089690C">
        <w:rPr>
          <w:rFonts w:ascii="Calibri" w:eastAsia="Calibri" w:hAnsi="Calibri" w:cs="Calibri"/>
          <w:color w:val="000000"/>
          <w:lang w:val="pt-BR"/>
        </w:rPr>
        <w:t>Orientar um caminho terapêutico seguro e personalizado.</w:t>
      </w:r>
    </w:p>
    <w:p w14:paraId="3538A3D1" w14:textId="77777777" w:rsidR="002245BB" w:rsidRPr="003D34C6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3D34C6">
        <w:rPr>
          <w:rFonts w:ascii="Calibri" w:eastAsia="Calibri" w:hAnsi="Calibri" w:cs="Calibri"/>
          <w:b/>
          <w:bCs/>
          <w:lang w:val="pt-BR"/>
        </w:rPr>
        <w:t>2. CATEGORIAS DA ANÁLISE</w:t>
      </w:r>
    </w:p>
    <w:p w14:paraId="58F16A55" w14:textId="77777777" w:rsidR="002245BB" w:rsidRPr="003D34C6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3D34C6">
        <w:rPr>
          <w:rFonts w:ascii="Calibri" w:eastAsia="Calibri" w:hAnsi="Calibri" w:cs="Calibri"/>
          <w:b/>
          <w:bCs/>
          <w:lang w:val="pt-BR"/>
        </w:rPr>
        <w:t>2.1.  Microrganismos</w:t>
      </w:r>
    </w:p>
    <w:p w14:paraId="40891DD0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Esta categoria  de análise identifica microrganismos que apresentam ressonância com o campo biológico do pacientes. Os sintomas associados refletem descrições clínicas reconhecidas para esses agentes, mas variam conforme as particularidades fisiológicas e energéticas de cada indivíduo.</w:t>
      </w:r>
    </w:p>
    <w:p w14:paraId="674993B8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Na abordagem integrativa, autores como a Dra. Hulda Clark sugerem que alterações do bem-estar podem resultar da combinação entre um microrganismo e uma toxina associada, reforçando a ideia de que fatores biológicos, ambientais e energéticos podem influenciar o equilíbrio orgânico. Essa perspectiva não substitui diagnósticos médicos, mas amplia o entendimento das interações que podem contribuir para desequilíbrios sistêmicos.</w:t>
      </w:r>
    </w:p>
    <w:p w14:paraId="0CB4EDE9" w14:textId="77777777" w:rsidR="002245BB" w:rsidRPr="003D34C6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3D34C6">
        <w:rPr>
          <w:rFonts w:ascii="Calibri" w:eastAsia="Calibri" w:hAnsi="Calibri" w:cs="Calibri"/>
          <w:b/>
          <w:bCs/>
          <w:lang w:val="pt-BR"/>
        </w:rPr>
        <w:t>2.2. Toxinas</w:t>
      </w:r>
    </w:p>
    <w:p w14:paraId="1417C4FC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Esta categoria  identifica no indivíduo substâncias capazes de interferir de maneira significativa na regulação fisiológica e bioenergética do organismo, incluindo metais pesados, solventes, agrotóxicos, xenoestrógenos, radiação, além de toxinas ambientais, alimentares, intestinais, nervosas e de fármacos.</w:t>
      </w:r>
    </w:p>
    <w:p w14:paraId="6EECBA01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Apesar de suas diferenças, todas têm potencial para sobrecarregar os sistemas de detoxificação, aumentar o estresse oxidativo e desestabilizar o metabolismo. Evidências também indicam que a presença de toxinas pode reduzir a eficiência imunológica, alterar o pH dos tecidos, favorecer disbiose e criar condições que facilitam a proliferação de microrganismos oportunistas.</w:t>
      </w:r>
    </w:p>
    <w:p w14:paraId="0AA8BCFD" w14:textId="77777777" w:rsidR="002245BB" w:rsidRPr="00900B74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900B74">
        <w:rPr>
          <w:rFonts w:ascii="Calibri" w:eastAsia="Calibri" w:hAnsi="Calibri" w:cs="Calibri"/>
          <w:b/>
          <w:bCs/>
          <w:lang w:val="pt-BR"/>
        </w:rPr>
        <w:t>2.3. Campo morfogenético</w:t>
      </w:r>
    </w:p>
    <w:p w14:paraId="0666FCDF" w14:textId="48186539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 xml:space="preserve">A análise do campo morfogenético também é </w:t>
      </w:r>
      <w:r w:rsidR="00900B74">
        <w:rPr>
          <w:rFonts w:ascii="Calibri" w:eastAsia="Calibri" w:hAnsi="Calibri" w:cs="Calibri"/>
          <w:lang w:val="pt-BR"/>
        </w:rPr>
        <w:pgNum/>
      </w:r>
      <w:r w:rsidR="00900B74">
        <w:rPr>
          <w:rFonts w:ascii="Calibri" w:eastAsia="Calibri" w:hAnsi="Calibri" w:cs="Calibri"/>
          <w:lang w:val="pt-BR"/>
        </w:rPr>
        <w:t>ossível</w:t>
      </w:r>
      <w:r w:rsidRPr="0089690C">
        <w:rPr>
          <w:rFonts w:ascii="Calibri" w:eastAsia="Calibri" w:hAnsi="Calibri" w:cs="Calibri"/>
          <w:lang w:val="pt-BR"/>
        </w:rPr>
        <w:t xml:space="preserve"> de ser realizado por meio da biorressonância, Pesquisas demonstram que o estresse crônico, as emoções persistentes e os conflitos psicossociais provocam alterações mensuráveis na atividade elétrica cerebral, na coerência cardíaca, na função imunológica e na regulação neuroendócrina. Esses mecanismos são compatíveis com a concepção de um campo regulatório que integra corpo, ambiente e experiência emocional onde fatores psicológicos influenciam diretamente a fisiologia e que desequilíbrios orgânicos também repercutam no campo emocional.</w:t>
      </w:r>
    </w:p>
    <w:p w14:paraId="37FFAB03" w14:textId="77777777" w:rsidR="002245BB" w:rsidRPr="003D34C6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3D34C6">
        <w:rPr>
          <w:rFonts w:ascii="Calibri" w:eastAsia="Calibri" w:hAnsi="Calibri" w:cs="Calibri"/>
          <w:b/>
          <w:bCs/>
          <w:lang w:val="pt-BR"/>
        </w:rPr>
        <w:lastRenderedPageBreak/>
        <w:t>2.4. Alimentos</w:t>
      </w:r>
    </w:p>
    <w:p w14:paraId="66506E2D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 xml:space="preserve">Essa categoria de análise  não substitui orientações nutricionais convencionais, mas indica como determinados alimentos podem influenciar o equilíbrio energético, digestório, inflamatório e imunológico do indivíduo. </w:t>
      </w:r>
    </w:p>
    <w:p w14:paraId="369F9741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A compatibilidade alimentar é definida por padrões de ressonância entre o organismo e cada alimento testado. Esses padrões refletem a resposta adaptativa do corpo, sugerindo se determinado item contribui para a harmonia fisiológica ou, ao contrário, aumenta o estresse metabólico.</w:t>
      </w:r>
    </w:p>
    <w:p w14:paraId="237A6977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2.5. Pedras e cristais</w:t>
      </w:r>
    </w:p>
    <w:p w14:paraId="2A2CAD55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Cada pedra ou cristal apresenta uma organização atômica altamente estável, capaz de emitir padrões vibracionais constantes. Esses padrões funcionam como referências de coerência que podem interagir com sistemas biológicos e emocionais que se encontram em desregulação. Quando a análise de biorressonância indica afinidade com determinados cristais, isso sugere que o organismo está buscando restaurar sua própria estabilidade e que esses elementos podem atuar como suportes externos para favorecer esse processo.</w:t>
      </w:r>
    </w:p>
    <w:p w14:paraId="0F026B13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 xml:space="preserve">Nesse contexto, embora seus efeitos pareçam sutis, o uso de cristais pode contribuir para redução de estresse, maior clareza mental, estabilização emocional, regulação do sistema nervoso autônomo, melhora do sono, sensação de enraizamento e aumento da vitalidade. </w:t>
      </w:r>
    </w:p>
    <w:p w14:paraId="6AD27F88" w14:textId="77777777" w:rsidR="002245BB" w:rsidRPr="0089690C" w:rsidRDefault="002245BB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</w:p>
    <w:p w14:paraId="28737720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b/>
          <w:bCs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3. INTERPRETAÇÃO DOS  RESULTADOS DAS ANÁLISES</w:t>
      </w:r>
    </w:p>
    <w:p w14:paraId="70ADBDB2" w14:textId="77777777" w:rsidR="002245BB" w:rsidRPr="0089690C" w:rsidRDefault="002C337D">
      <w:pPr>
        <w:spacing w:after="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u w:val="single"/>
          <w:lang w:val="pt-BR"/>
        </w:rPr>
        <w:t>D  é o índice de divergência ou grau de desvio</w:t>
      </w:r>
      <w:r w:rsidRPr="0089690C">
        <w:rPr>
          <w:rFonts w:ascii="Calibri" w:eastAsia="Calibri" w:hAnsi="Calibri" w:cs="Calibri"/>
          <w:lang w:val="pt-BR"/>
        </w:rPr>
        <w:t xml:space="preserve"> entre o padrão de frequência ideal de um órgão, tecido, microrganismo ou substância e a frequência detectada no paciente. </w:t>
      </w:r>
    </w:p>
    <w:p w14:paraId="545342E9" w14:textId="77777777" w:rsidR="002245BB" w:rsidRPr="0089690C" w:rsidRDefault="002245BB">
      <w:pPr>
        <w:spacing w:after="0" w:line="240" w:lineRule="auto"/>
        <w:jc w:val="center"/>
        <w:rPr>
          <w:rFonts w:ascii="Calibri" w:eastAsia="Calibri" w:hAnsi="Calibri" w:cs="Calibri"/>
          <w:b/>
          <w:bCs/>
          <w:lang w:val="pt-BR"/>
        </w:rPr>
      </w:pPr>
    </w:p>
    <w:p w14:paraId="193AB831" w14:textId="77777777" w:rsidR="002245BB" w:rsidRPr="0089690C" w:rsidRDefault="002C337D">
      <w:pPr>
        <w:spacing w:after="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No sistema Prosync</w:t>
      </w:r>
      <w:r w:rsidRPr="0089690C">
        <w:rPr>
          <w:rFonts w:ascii="Calibri" w:eastAsia="Calibri" w:hAnsi="Calibri" w:cs="Calibri"/>
          <w:lang w:val="pt-BR"/>
        </w:rPr>
        <w:t xml:space="preserve"> , os resultados da análise  são apresentados no formato D = X/Y, onde: X = frequência do microrganismo ou substância analisada e  Y = frequência do paciente.</w:t>
      </w:r>
    </w:p>
    <w:p w14:paraId="7CB8F794" w14:textId="77777777" w:rsidR="002245BB" w:rsidRPr="0089690C" w:rsidRDefault="002245BB">
      <w:pPr>
        <w:spacing w:after="0" w:line="240" w:lineRule="auto"/>
        <w:rPr>
          <w:rFonts w:ascii="Calibri" w:eastAsia="Calibri" w:hAnsi="Calibri" w:cs="Calibri"/>
          <w:lang w:val="pt-BR"/>
        </w:rPr>
      </w:pPr>
    </w:p>
    <w:p w14:paraId="5EFEE96A" w14:textId="77777777" w:rsidR="002245BB" w:rsidRPr="0089690C" w:rsidRDefault="002C337D">
      <w:pPr>
        <w:spacing w:after="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lang w:val="pt-BR"/>
        </w:rPr>
        <w:t>O sistema considera o desvio padrão de ±10%  de X em relação ao valor de Y. Quando X está mais de 10% acima ou abaixo de Y indica divergência e possível reatividade bioenergética ou um processo inflamatório relacionado ao agente testado.</w:t>
      </w:r>
    </w:p>
    <w:p w14:paraId="744D8310" w14:textId="77777777" w:rsidR="002245BB" w:rsidRPr="0089690C" w:rsidRDefault="002245BB">
      <w:pPr>
        <w:spacing w:after="0" w:line="240" w:lineRule="auto"/>
        <w:rPr>
          <w:rFonts w:ascii="Calibri" w:eastAsia="Calibri" w:hAnsi="Calibri" w:cs="Calibri"/>
          <w:lang w:val="pt-BR"/>
        </w:rPr>
      </w:pPr>
    </w:p>
    <w:p w14:paraId="5CA9EACE" w14:textId="77777777" w:rsidR="002245BB" w:rsidRPr="0089690C" w:rsidRDefault="002C337D">
      <w:pPr>
        <w:spacing w:after="120" w:line="240" w:lineRule="auto"/>
        <w:rPr>
          <w:rFonts w:ascii="Calibri" w:eastAsia="Calibri" w:hAnsi="Calibri" w:cs="Calibri"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Nos sistemas Oberon/Meta Hunter</w:t>
      </w:r>
      <w:r w:rsidRPr="0089690C">
        <w:rPr>
          <w:rFonts w:ascii="Calibri" w:eastAsia="Calibri" w:hAnsi="Calibri" w:cs="Calibri"/>
          <w:lang w:val="pt-BR"/>
        </w:rPr>
        <w:t xml:space="preserve">, os resultados da análise seguem as indicações abaixo: </w:t>
      </w:r>
    </w:p>
    <w:tbl>
      <w:tblPr>
        <w:tblStyle w:val="affffffff2"/>
        <w:tblW w:w="10485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1423"/>
        <w:gridCol w:w="1417"/>
        <w:gridCol w:w="7645"/>
      </w:tblGrid>
      <w:tr w:rsidR="002245BB" w14:paraId="63C1CC09" w14:textId="77777777">
        <w:tc>
          <w:tcPr>
            <w:tcW w:w="1423" w:type="dxa"/>
            <w:shd w:val="clear" w:color="auto" w:fill="D9D9D9"/>
          </w:tcPr>
          <w:p w14:paraId="7DA1D38C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Aspectos</w:t>
            </w: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3DA595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062B8F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Interpretação</w:t>
            </w:r>
          </w:p>
        </w:tc>
      </w:tr>
      <w:tr w:rsidR="002245BB" w:rsidRPr="00A41842" w14:paraId="0570A8E2" w14:textId="77777777">
        <w:tc>
          <w:tcPr>
            <w:tcW w:w="1423" w:type="dxa"/>
            <w:vMerge w:val="restart"/>
            <w:vAlign w:val="center"/>
          </w:tcPr>
          <w:p w14:paraId="1CBD733A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Microrganismos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FA3883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 – 0,300</w:t>
            </w:r>
          </w:p>
        </w:tc>
        <w:tc>
          <w:tcPr>
            <w:tcW w:w="764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6B528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Provável presença ativa do microrganismo</w:t>
            </w:r>
          </w:p>
        </w:tc>
      </w:tr>
      <w:tr w:rsidR="002245BB" w:rsidRPr="00A41842" w14:paraId="7E64E3A3" w14:textId="77777777">
        <w:tc>
          <w:tcPr>
            <w:tcW w:w="1423" w:type="dxa"/>
            <w:vMerge/>
            <w:vAlign w:val="center"/>
          </w:tcPr>
          <w:p w14:paraId="4E0BA86A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48BAD5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0,310 – 0,710</w:t>
            </w:r>
          </w:p>
        </w:tc>
        <w:tc>
          <w:tcPr>
            <w:tcW w:w="764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44C6D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Possível presença, podendo estar inativo ou em baixa atividade.</w:t>
            </w:r>
          </w:p>
        </w:tc>
      </w:tr>
      <w:tr w:rsidR="002245BB" w:rsidRPr="00A41842" w14:paraId="564A1B7D" w14:textId="77777777">
        <w:tc>
          <w:tcPr>
            <w:tcW w:w="1423" w:type="dxa"/>
            <w:vMerge/>
            <w:vAlign w:val="center"/>
          </w:tcPr>
          <w:p w14:paraId="7F7DCFBC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975251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&gt; 0,710</w:t>
            </w:r>
          </w:p>
        </w:tc>
        <w:tc>
          <w:tcPr>
            <w:tcW w:w="764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D9A03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Compatibilidade fraca, indicando memória energética ou irrelevante.</w:t>
            </w:r>
          </w:p>
        </w:tc>
      </w:tr>
      <w:tr w:rsidR="002245BB" w:rsidRPr="00A41842" w14:paraId="0CA4EE7A" w14:textId="77777777">
        <w:trPr>
          <w:trHeight w:val="314"/>
        </w:trPr>
        <w:tc>
          <w:tcPr>
            <w:tcW w:w="1423" w:type="dxa"/>
            <w:vMerge w:val="restart"/>
            <w:shd w:val="clear" w:color="auto" w:fill="D9D9D9"/>
            <w:vAlign w:val="center"/>
          </w:tcPr>
          <w:p w14:paraId="740D5F4D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Toxinas</w:t>
            </w: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E13D8" w14:textId="174F2F58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0,300</w:t>
            </w:r>
          </w:p>
        </w:tc>
        <w:tc>
          <w:tcPr>
            <w:tcW w:w="7645" w:type="dxa"/>
            <w:shd w:val="clear" w:color="auto" w:fill="D9D9D9"/>
          </w:tcPr>
          <w:p w14:paraId="771C1D82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Alta ressonância – forte impacto no organismo. Indica sobrecarga tóxica ou intoxicação ativa.</w:t>
            </w:r>
          </w:p>
        </w:tc>
      </w:tr>
      <w:tr w:rsidR="002245BB" w:rsidRPr="00A41842" w14:paraId="5D174FCA" w14:textId="77777777">
        <w:trPr>
          <w:trHeight w:val="293"/>
        </w:trPr>
        <w:tc>
          <w:tcPr>
            <w:tcW w:w="1423" w:type="dxa"/>
            <w:vMerge/>
            <w:shd w:val="clear" w:color="auto" w:fill="D9D9D9"/>
            <w:vAlign w:val="center"/>
          </w:tcPr>
          <w:p w14:paraId="2E5D87AD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CB04" w14:textId="21EAA47F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0,300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0,700</w:t>
            </w:r>
          </w:p>
        </w:tc>
        <w:tc>
          <w:tcPr>
            <w:tcW w:w="7645" w:type="dxa"/>
            <w:shd w:val="clear" w:color="auto" w:fill="D9D9D9"/>
          </w:tcPr>
          <w:p w14:paraId="65BB4A1E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Ressonância moderada – há sinais de influência ativa no campo biológico. </w:t>
            </w:r>
          </w:p>
        </w:tc>
      </w:tr>
      <w:tr w:rsidR="002245BB" w:rsidRPr="00A41842" w14:paraId="2D99B4B0" w14:textId="77777777">
        <w:trPr>
          <w:trHeight w:val="293"/>
        </w:trPr>
        <w:tc>
          <w:tcPr>
            <w:tcW w:w="1423" w:type="dxa"/>
            <w:vMerge/>
            <w:shd w:val="clear" w:color="auto" w:fill="D9D9D9"/>
            <w:vAlign w:val="center"/>
          </w:tcPr>
          <w:p w14:paraId="625CF1FD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C6F8C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0,710 -1,000</w:t>
            </w:r>
          </w:p>
        </w:tc>
        <w:tc>
          <w:tcPr>
            <w:tcW w:w="7645" w:type="dxa"/>
            <w:shd w:val="clear" w:color="auto" w:fill="D9D9D9"/>
          </w:tcPr>
          <w:p w14:paraId="32101245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Baixa ressonância – possível exposição passada, mas pouco ativa.</w:t>
            </w:r>
          </w:p>
        </w:tc>
      </w:tr>
      <w:tr w:rsidR="002245BB" w14:paraId="1FE92A39" w14:textId="77777777">
        <w:trPr>
          <w:trHeight w:val="293"/>
        </w:trPr>
        <w:tc>
          <w:tcPr>
            <w:tcW w:w="1423" w:type="dxa"/>
            <w:vMerge/>
            <w:shd w:val="clear" w:color="auto" w:fill="D9D9D9"/>
            <w:vAlign w:val="center"/>
          </w:tcPr>
          <w:p w14:paraId="7CB592AF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9401B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&gt;1,000</w:t>
            </w:r>
          </w:p>
        </w:tc>
        <w:tc>
          <w:tcPr>
            <w:tcW w:w="7645" w:type="dxa"/>
            <w:shd w:val="clear" w:color="auto" w:fill="D9D9D9"/>
          </w:tcPr>
          <w:p w14:paraId="2FAD2174" w14:textId="77777777" w:rsidR="002245BB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 xml:space="preserve">Não ressoa com o organismo.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Ausência de carga tóxica.</w:t>
            </w:r>
          </w:p>
        </w:tc>
      </w:tr>
      <w:tr w:rsidR="002245BB" w:rsidRPr="00A41842" w14:paraId="0EC314ED" w14:textId="77777777">
        <w:trPr>
          <w:trHeight w:val="293"/>
        </w:trPr>
        <w:tc>
          <w:tcPr>
            <w:tcW w:w="1423" w:type="dxa"/>
            <w:vMerge w:val="restart"/>
            <w:vAlign w:val="center"/>
          </w:tcPr>
          <w:p w14:paraId="4F058055" w14:textId="77777777" w:rsidR="002245BB" w:rsidRDefault="002C33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Campo morfogenético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191C7D" w14:textId="69030EEC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0,300</w:t>
            </w:r>
          </w:p>
        </w:tc>
        <w:tc>
          <w:tcPr>
            <w:tcW w:w="7645" w:type="dxa"/>
            <w:vAlign w:val="center"/>
          </w:tcPr>
          <w:p w14:paraId="5B66B88E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Emoção ativa e ressoante que está afetando os campos  emocional/mental no momento.</w:t>
            </w:r>
          </w:p>
        </w:tc>
      </w:tr>
      <w:tr w:rsidR="002245BB" w14:paraId="3C918C1C" w14:textId="77777777">
        <w:trPr>
          <w:trHeight w:val="293"/>
        </w:trPr>
        <w:tc>
          <w:tcPr>
            <w:tcW w:w="1423" w:type="dxa"/>
            <w:vMerge/>
            <w:vAlign w:val="center"/>
          </w:tcPr>
          <w:p w14:paraId="6D068CCE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4AA55" w14:textId="4D6CB0F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0,300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0,700</w:t>
            </w:r>
          </w:p>
        </w:tc>
        <w:tc>
          <w:tcPr>
            <w:tcW w:w="7645" w:type="dxa"/>
            <w:vAlign w:val="center"/>
          </w:tcPr>
          <w:p w14:paraId="5E173D25" w14:textId="77777777" w:rsidR="002245BB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 xml:space="preserve">Emoção latente. Ainda exerce influência, embora com menor intensidade.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Pode estar ligada a memórias ou padrões recorrentes.</w:t>
            </w:r>
          </w:p>
        </w:tc>
      </w:tr>
      <w:tr w:rsidR="002245BB" w:rsidRPr="00A41842" w14:paraId="103009DB" w14:textId="77777777">
        <w:trPr>
          <w:trHeight w:val="293"/>
        </w:trPr>
        <w:tc>
          <w:tcPr>
            <w:tcW w:w="1423" w:type="dxa"/>
            <w:vMerge/>
            <w:vAlign w:val="center"/>
          </w:tcPr>
          <w:p w14:paraId="36B8D594" w14:textId="77777777" w:rsidR="002245BB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66C93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0,710 -1,000</w:t>
            </w:r>
          </w:p>
        </w:tc>
        <w:tc>
          <w:tcPr>
            <w:tcW w:w="7645" w:type="dxa"/>
            <w:vAlign w:val="center"/>
          </w:tcPr>
          <w:p w14:paraId="01E02D21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Emoção em transição ou enfraquecida. Pode estar sendo processada ou superada.</w:t>
            </w:r>
          </w:p>
        </w:tc>
      </w:tr>
      <w:tr w:rsidR="002245BB" w:rsidRPr="00A41842" w14:paraId="0735CB60" w14:textId="77777777">
        <w:trPr>
          <w:trHeight w:val="293"/>
        </w:trPr>
        <w:tc>
          <w:tcPr>
            <w:tcW w:w="1423" w:type="dxa"/>
            <w:vMerge/>
            <w:vAlign w:val="center"/>
          </w:tcPr>
          <w:p w14:paraId="1DF6D940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929B2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&gt;1,000</w:t>
            </w:r>
          </w:p>
        </w:tc>
        <w:tc>
          <w:tcPr>
            <w:tcW w:w="7645" w:type="dxa"/>
            <w:vAlign w:val="center"/>
          </w:tcPr>
          <w:p w14:paraId="6EC1430A" w14:textId="77777777" w:rsidR="002245BB" w:rsidRPr="0089690C" w:rsidRDefault="002C3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2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Geralmente não ressoa mais com o campo atual. Foi ressignificada e/ou superada.</w:t>
            </w:r>
          </w:p>
        </w:tc>
      </w:tr>
      <w:tr w:rsidR="002245BB" w:rsidRPr="00A41842" w14:paraId="12F0B65C" w14:textId="77777777">
        <w:tc>
          <w:tcPr>
            <w:tcW w:w="1423" w:type="dxa"/>
            <w:vMerge w:val="restart"/>
            <w:shd w:val="clear" w:color="auto" w:fill="D9D9D9"/>
            <w:vAlign w:val="center"/>
          </w:tcPr>
          <w:p w14:paraId="35C7D55A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Alimentos</w:t>
            </w: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50AF5E" w14:textId="3E22CB61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0,300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64828B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Altamente compatível – alimento benéfico, harmonizador.</w:t>
            </w:r>
          </w:p>
        </w:tc>
      </w:tr>
      <w:tr w:rsidR="002245BB" w:rsidRPr="00A41842" w14:paraId="052B73CB" w14:textId="77777777">
        <w:tc>
          <w:tcPr>
            <w:tcW w:w="1423" w:type="dxa"/>
            <w:vMerge/>
            <w:shd w:val="clear" w:color="auto" w:fill="D9D9D9"/>
            <w:vAlign w:val="center"/>
          </w:tcPr>
          <w:p w14:paraId="3790B32D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69153" w14:textId="73A8A224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0,300 </w:t>
            </w:r>
            <w:r w:rsidR="00900B74">
              <w:rPr>
                <w:rFonts w:ascii="Calibri" w:eastAsia="Calibri" w:hAnsi="Calibri" w:cs="Calibri"/>
                <w:sz w:val="20"/>
                <w:szCs w:val="20"/>
              </w:rPr>
              <w:t>–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0,700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71FE09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Compatível – pode ser consumido com moderação.</w:t>
            </w:r>
          </w:p>
        </w:tc>
      </w:tr>
      <w:tr w:rsidR="002245BB" w:rsidRPr="00A41842" w14:paraId="51767719" w14:textId="77777777">
        <w:trPr>
          <w:trHeight w:val="265"/>
        </w:trPr>
        <w:tc>
          <w:tcPr>
            <w:tcW w:w="1423" w:type="dxa"/>
            <w:vMerge/>
            <w:shd w:val="clear" w:color="auto" w:fill="D9D9D9"/>
            <w:vAlign w:val="center"/>
          </w:tcPr>
          <w:p w14:paraId="6F05E206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BCF19F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0,710 -1,000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8E3AE7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Pouco compatível – pode gerar leve estresse biológico.</w:t>
            </w:r>
          </w:p>
        </w:tc>
      </w:tr>
      <w:tr w:rsidR="002245BB" w:rsidRPr="00A41842" w14:paraId="2A565934" w14:textId="77777777">
        <w:tc>
          <w:tcPr>
            <w:tcW w:w="1423" w:type="dxa"/>
            <w:vMerge/>
            <w:shd w:val="clear" w:color="auto" w:fill="D9D9D9"/>
            <w:vAlign w:val="center"/>
          </w:tcPr>
          <w:p w14:paraId="48C3E95A" w14:textId="77777777" w:rsidR="002245BB" w:rsidRPr="0089690C" w:rsidRDefault="002245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Calibri" w:eastAsia="Calibri" w:hAnsi="Calibri" w:cs="Calibri"/>
                <w:sz w:val="20"/>
                <w:szCs w:val="20"/>
                <w:lang w:val="pt-BR"/>
              </w:rPr>
            </w:pPr>
          </w:p>
        </w:tc>
        <w:tc>
          <w:tcPr>
            <w:tcW w:w="1417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DBF16C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&gt;1,000</w:t>
            </w:r>
          </w:p>
        </w:tc>
        <w:tc>
          <w:tcPr>
            <w:tcW w:w="7645" w:type="dxa"/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979E6" w14:textId="77777777" w:rsidR="002245BB" w:rsidRPr="0089690C" w:rsidRDefault="002C337D">
            <w:pPr>
              <w:spacing w:after="0" w:line="240" w:lineRule="auto"/>
              <w:rPr>
                <w:rFonts w:ascii="Calibri" w:eastAsia="Calibri" w:hAnsi="Calibri" w:cs="Calibri"/>
                <w:b/>
                <w:bCs/>
                <w:sz w:val="20"/>
                <w:szCs w:val="20"/>
                <w:lang w:val="pt-BR"/>
              </w:rPr>
            </w:pPr>
            <w:r w:rsidRPr="0089690C">
              <w:rPr>
                <w:rFonts w:ascii="Calibri" w:eastAsia="Calibri" w:hAnsi="Calibri" w:cs="Calibri"/>
                <w:sz w:val="20"/>
                <w:szCs w:val="20"/>
                <w:lang w:val="pt-BR"/>
              </w:rPr>
              <w:t>Incompatível – potencial alergênico, inflamatório ou intoxicante.</w:t>
            </w:r>
          </w:p>
        </w:tc>
      </w:tr>
    </w:tbl>
    <w:p w14:paraId="4DA8E20D" w14:textId="77777777" w:rsidR="002245BB" w:rsidRDefault="002C337D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lastRenderedPageBreak/>
        <w:t>4. RESULTADOS DAS ANÁLISES</w:t>
      </w:r>
    </w:p>
    <w:tbl>
      <w:tblPr>
        <w:tblStyle w:val="affffffff3"/>
        <w:tblW w:w="1059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22"/>
        <w:gridCol w:w="1276"/>
        <w:gridCol w:w="4536"/>
        <w:gridCol w:w="1559"/>
      </w:tblGrid>
      <w:tr w:rsidR="002245BB" w14:paraId="340FE4B1" w14:textId="77777777">
        <w:trPr>
          <w:trHeight w:val="279"/>
        </w:trPr>
        <w:tc>
          <w:tcPr>
            <w:tcW w:w="3222" w:type="dxa"/>
            <w:shd w:val="clear" w:color="auto" w:fill="D9D9D9"/>
          </w:tcPr>
          <w:p w14:paraId="62F4F578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MICRORGANISMOS DETECTADOS</w:t>
            </w:r>
          </w:p>
        </w:tc>
        <w:tc>
          <w:tcPr>
            <w:tcW w:w="1276" w:type="dxa"/>
            <w:shd w:val="clear" w:color="auto" w:fill="D9D9D9"/>
          </w:tcPr>
          <w:p w14:paraId="6A79FA3F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TIPO</w:t>
            </w:r>
          </w:p>
        </w:tc>
        <w:tc>
          <w:tcPr>
            <w:tcW w:w="4536" w:type="dxa"/>
            <w:shd w:val="clear" w:color="auto" w:fill="D9D9D9"/>
          </w:tcPr>
          <w:p w14:paraId="6482342D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SINTOMAS COMUNS</w:t>
            </w:r>
          </w:p>
        </w:tc>
        <w:tc>
          <w:tcPr>
            <w:tcW w:w="1559" w:type="dxa"/>
            <w:shd w:val="clear" w:color="auto" w:fill="D9D9D9"/>
          </w:tcPr>
          <w:p w14:paraId="721894C3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D</w:t>
            </w:r>
          </w:p>
        </w:tc>
      </w:tr>
      <w:tr w:rsidR="00900B74" w14:paraId="43B89552" w14:textId="77777777" w:rsidTr="00A80BBA">
        <w:trPr>
          <w:trHeight w:val="279"/>
        </w:trPr>
        <w:tc>
          <w:tcPr>
            <w:tcW w:w="10593" w:type="dxa"/>
            <w:gridSpan w:val="4"/>
          </w:tcPr>
          <w:p w14:paraId="7DCD3008" w14:textId="312EAF4A" w:rsidR="00900B74" w:rsidRPr="00A41842" w:rsidRDefault="00900B74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A41842">
              <w:rPr>
                <w:rFonts w:ascii="Calibri" w:eastAsia="Calibri" w:hAnsi="Calibri" w:cs="Calibri"/>
              </w:rPr>
              <w:t>{%</w:t>
            </w:r>
            <w:r w:rsidR="00A80BBA" w:rsidRPr="00A41842">
              <w:rPr>
                <w:rFonts w:ascii="Calibri" w:eastAsia="Calibri" w:hAnsi="Calibri" w:cs="Calibri"/>
              </w:rPr>
              <w:t>tr for item in table_microorganism%}</w:t>
            </w:r>
          </w:p>
        </w:tc>
      </w:tr>
      <w:tr w:rsidR="00900B74" w14:paraId="3DAEDDE4" w14:textId="77777777" w:rsidTr="00A80BBA">
        <w:trPr>
          <w:trHeight w:val="279"/>
        </w:trPr>
        <w:tc>
          <w:tcPr>
            <w:tcW w:w="3222" w:type="dxa"/>
          </w:tcPr>
          <w:p w14:paraId="4BB78EA8" w14:textId="14C2E391" w:rsidR="00900B74" w:rsidRPr="00A41842" w:rsidRDefault="00BD43A7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A41842">
              <w:rPr>
                <w:rFonts w:ascii="Calibri" w:eastAsia="Calibri" w:hAnsi="Calibri" w:cs="Calibri"/>
              </w:rPr>
              <w:t>{{item.nome}}</w:t>
            </w:r>
          </w:p>
        </w:tc>
        <w:tc>
          <w:tcPr>
            <w:tcW w:w="1276" w:type="dxa"/>
          </w:tcPr>
          <w:p w14:paraId="5BE8A08A" w14:textId="4C9C6BBA" w:rsidR="00900B74" w:rsidRPr="00A41842" w:rsidRDefault="00BD43A7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A41842">
              <w:rPr>
                <w:rFonts w:ascii="Calibri" w:eastAsia="Calibri" w:hAnsi="Calibri" w:cs="Calibri"/>
              </w:rPr>
              <w:t>{{item.tipo}}</w:t>
            </w:r>
          </w:p>
        </w:tc>
        <w:tc>
          <w:tcPr>
            <w:tcW w:w="4536" w:type="dxa"/>
          </w:tcPr>
          <w:p w14:paraId="0663C25A" w14:textId="1E247A8D" w:rsidR="00900B74" w:rsidRPr="00A41842" w:rsidRDefault="00BD43A7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A41842">
              <w:rPr>
                <w:rFonts w:ascii="Calibri" w:eastAsia="Calibri" w:hAnsi="Calibri" w:cs="Calibri"/>
              </w:rPr>
              <w:t>{{item.</w:t>
            </w:r>
            <w:r w:rsidR="000311EE" w:rsidRPr="00A41842">
              <w:rPr>
                <w:rFonts w:ascii="Calibri" w:eastAsia="Calibri" w:hAnsi="Calibri" w:cs="Calibri"/>
              </w:rPr>
              <w:t>sintomas</w:t>
            </w:r>
            <w:r w:rsidRPr="00A41842">
              <w:rPr>
                <w:rFonts w:ascii="Calibri" w:eastAsia="Calibri" w:hAnsi="Calibri" w:cs="Calibri"/>
              </w:rPr>
              <w:t>}}</w:t>
            </w:r>
          </w:p>
        </w:tc>
        <w:tc>
          <w:tcPr>
            <w:tcW w:w="1559" w:type="dxa"/>
          </w:tcPr>
          <w:p w14:paraId="3C239F9B" w14:textId="0ED3BB06" w:rsidR="00900B74" w:rsidRPr="00A41842" w:rsidRDefault="000311E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A41842">
              <w:rPr>
                <w:rFonts w:ascii="Calibri" w:eastAsia="Calibri" w:hAnsi="Calibri" w:cs="Calibri"/>
              </w:rPr>
              <w:t>{{item.D}}</w:t>
            </w:r>
          </w:p>
        </w:tc>
      </w:tr>
      <w:tr w:rsidR="00A80BBA" w14:paraId="0B997827" w14:textId="77777777" w:rsidTr="001F7EA7">
        <w:trPr>
          <w:trHeight w:val="279"/>
        </w:trPr>
        <w:tc>
          <w:tcPr>
            <w:tcW w:w="10593" w:type="dxa"/>
            <w:gridSpan w:val="4"/>
          </w:tcPr>
          <w:p w14:paraId="5CF0592A" w14:textId="40863901" w:rsidR="00A80BBA" w:rsidRPr="00A41842" w:rsidRDefault="00A80BB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A41842">
              <w:rPr>
                <w:rFonts w:ascii="Calibri" w:eastAsia="Calibri" w:hAnsi="Calibri" w:cs="Calibri"/>
              </w:rPr>
              <w:t>{%tr endfor %}</w:t>
            </w:r>
          </w:p>
        </w:tc>
      </w:tr>
    </w:tbl>
    <w:p w14:paraId="7B5937BF" w14:textId="77777777" w:rsidR="002245BB" w:rsidRDefault="002245BB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  <w:bookmarkStart w:id="1" w:name="_heading=h.avy5f2be3e0l" w:colFirst="0" w:colLast="0"/>
      <w:bookmarkEnd w:id="1"/>
    </w:p>
    <w:p w14:paraId="19532523" w14:textId="77777777" w:rsidR="00900B74" w:rsidRDefault="00900B74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p w14:paraId="50CC2A5A" w14:textId="77777777" w:rsidR="00900B74" w:rsidRDefault="00900B74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p w14:paraId="5D7DB4AC" w14:textId="77777777" w:rsidR="00900B74" w:rsidRDefault="00900B74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p w14:paraId="39576935" w14:textId="77777777" w:rsidR="00900B74" w:rsidRDefault="00900B74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tbl>
      <w:tblPr>
        <w:tblStyle w:val="affffffff4"/>
        <w:tblW w:w="10637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5817"/>
        <w:gridCol w:w="1559"/>
      </w:tblGrid>
      <w:tr w:rsidR="002245BB" w14:paraId="7CBE64CC" w14:textId="77777777">
        <w:tc>
          <w:tcPr>
            <w:tcW w:w="3261" w:type="dxa"/>
            <w:shd w:val="clear" w:color="auto" w:fill="D9D9D9"/>
          </w:tcPr>
          <w:p w14:paraId="28BC83D0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TOXINAS DETECTADAS</w:t>
            </w:r>
          </w:p>
        </w:tc>
        <w:tc>
          <w:tcPr>
            <w:tcW w:w="5817" w:type="dxa"/>
            <w:shd w:val="clear" w:color="auto" w:fill="D9D9D9"/>
          </w:tcPr>
          <w:p w14:paraId="63198BEA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SINTOMAS COMUNS DA INTOXICAÇÃO</w:t>
            </w:r>
          </w:p>
        </w:tc>
        <w:tc>
          <w:tcPr>
            <w:tcW w:w="1559" w:type="dxa"/>
            <w:shd w:val="clear" w:color="auto" w:fill="D9D9D9"/>
          </w:tcPr>
          <w:p w14:paraId="6619898A" w14:textId="77777777" w:rsidR="002245BB" w:rsidRDefault="002C337D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D</w:t>
            </w:r>
          </w:p>
        </w:tc>
      </w:tr>
      <w:tr w:rsidR="000311EE" w14:paraId="3814DC53" w14:textId="77777777" w:rsidTr="006A42E1">
        <w:tc>
          <w:tcPr>
            <w:tcW w:w="10637" w:type="dxa"/>
            <w:gridSpan w:val="3"/>
          </w:tcPr>
          <w:p w14:paraId="280DE4F2" w14:textId="026F1AE4" w:rsidR="000311EE" w:rsidRPr="000311EE" w:rsidRDefault="000311EE" w:rsidP="000311EE">
            <w:pPr>
              <w:spacing w:after="0" w:line="240" w:lineRule="auto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b/>
                <w:bCs/>
              </w:rPr>
              <w:t>{%tr for item in table_toxins%}</w:t>
            </w:r>
          </w:p>
        </w:tc>
      </w:tr>
      <w:tr w:rsidR="002245BB" w14:paraId="1FA1B8BC" w14:textId="77777777">
        <w:tc>
          <w:tcPr>
            <w:tcW w:w="3261" w:type="dxa"/>
          </w:tcPr>
          <w:p w14:paraId="13552FC6" w14:textId="2464B277" w:rsidR="002245BB" w:rsidRDefault="000311EE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{{item</w:t>
            </w:r>
            <w:r w:rsidR="009B6E1B">
              <w:rPr>
                <w:rFonts w:ascii="Calibri" w:eastAsia="Calibri" w:hAnsi="Calibri" w:cs="Calibri"/>
              </w:rPr>
              <w:t>.nome}}</w:t>
            </w:r>
          </w:p>
        </w:tc>
        <w:tc>
          <w:tcPr>
            <w:tcW w:w="5817" w:type="dxa"/>
          </w:tcPr>
          <w:p w14:paraId="46168DAE" w14:textId="4B228C4F" w:rsidR="002245BB" w:rsidRDefault="009B6E1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{{item.efeitos</w:t>
            </w:r>
            <w:r w:rsidR="002326C8">
              <w:rPr>
                <w:rFonts w:ascii="Calibri" w:eastAsia="Calibri" w:hAnsi="Calibri" w:cs="Calibri"/>
              </w:rPr>
              <w:t>}}</w:t>
            </w:r>
          </w:p>
        </w:tc>
        <w:tc>
          <w:tcPr>
            <w:tcW w:w="1559" w:type="dxa"/>
          </w:tcPr>
          <w:p w14:paraId="6A462260" w14:textId="1EBAA2DE" w:rsidR="002245BB" w:rsidRDefault="002326C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{{item.D}}</w:t>
            </w:r>
          </w:p>
        </w:tc>
      </w:tr>
      <w:tr w:rsidR="002326C8" w14:paraId="1281ECA1" w14:textId="77777777" w:rsidTr="006B58A3">
        <w:tc>
          <w:tcPr>
            <w:tcW w:w="10637" w:type="dxa"/>
            <w:gridSpan w:val="3"/>
          </w:tcPr>
          <w:p w14:paraId="583F613B" w14:textId="3AC478AD" w:rsidR="002326C8" w:rsidRDefault="002326C8" w:rsidP="002326C8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{%tr endfor %}</w:t>
            </w:r>
          </w:p>
        </w:tc>
      </w:tr>
    </w:tbl>
    <w:p w14:paraId="3B2B1683" w14:textId="77777777" w:rsidR="002245BB" w:rsidRDefault="002245BB">
      <w:pPr>
        <w:widowControl w:val="0"/>
        <w:spacing w:after="0"/>
        <w:rPr>
          <w:rFonts w:ascii="Calibri" w:eastAsia="Calibri" w:hAnsi="Calibri" w:cs="Calibri"/>
          <w:sz w:val="12"/>
          <w:szCs w:val="12"/>
        </w:rPr>
      </w:pPr>
    </w:p>
    <w:tbl>
      <w:tblPr>
        <w:tblStyle w:val="affffffff5"/>
        <w:tblW w:w="10632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73"/>
        <w:gridCol w:w="1559"/>
      </w:tblGrid>
      <w:tr w:rsidR="002245BB" w14:paraId="717EBAE2" w14:textId="77777777">
        <w:trPr>
          <w:tblHeader/>
        </w:trPr>
        <w:tc>
          <w:tcPr>
            <w:tcW w:w="9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F0B65CB" w14:textId="77777777" w:rsidR="002245BB" w:rsidRDefault="002C337D">
            <w:pPr>
              <w:widowControl w:val="0"/>
              <w:spacing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ALIMENTOS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34D2483" w14:textId="77777777" w:rsidR="002245BB" w:rsidRDefault="002C337D">
            <w:pPr>
              <w:widowControl w:val="0"/>
              <w:spacing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D</w:t>
            </w:r>
          </w:p>
        </w:tc>
      </w:tr>
      <w:tr w:rsidR="00841E0E" w14:paraId="348CF81E" w14:textId="77777777" w:rsidTr="008764ED">
        <w:tc>
          <w:tcPr>
            <w:tcW w:w="106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428C5" w14:textId="1D0D42DD" w:rsidR="00841E0E" w:rsidRDefault="00E64CF8" w:rsidP="00841E0E">
            <w:pPr>
              <w:widowControl w:val="0"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{%tr for k, v in table_food.items()%}</w:t>
            </w:r>
          </w:p>
        </w:tc>
      </w:tr>
      <w:tr w:rsidR="002245BB" w14:paraId="6BE8DDD9" w14:textId="77777777">
        <w:tc>
          <w:tcPr>
            <w:tcW w:w="9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7559E" w14:textId="37FF2B01" w:rsidR="002245BB" w:rsidRDefault="00E64CF8">
            <w:pPr>
              <w:widowControl w:val="0"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</w:t>
            </w:r>
            <w:r w:rsidR="008A7B2F">
              <w:rPr>
                <w:rFonts w:ascii="Calibri" w:eastAsia="Calibri" w:hAnsi="Calibri" w:cs="Calibri"/>
              </w:rPr>
              <w:t>k}}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C4326" w14:textId="1AADB65B" w:rsidR="002245BB" w:rsidRDefault="008A7B2F">
            <w:pPr>
              <w:widowControl w:val="0"/>
              <w:spacing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{{v}}</w:t>
            </w:r>
          </w:p>
        </w:tc>
      </w:tr>
      <w:tr w:rsidR="008A7B2F" w14:paraId="19BB4397" w14:textId="77777777" w:rsidTr="008A7AF8">
        <w:tc>
          <w:tcPr>
            <w:tcW w:w="106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2D893" w14:textId="11B24512" w:rsidR="008A7B2F" w:rsidRDefault="008A7B2F" w:rsidP="008A7B2F">
            <w:pPr>
              <w:widowControl w:val="0"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{%</w:t>
            </w:r>
            <w:r w:rsidR="00616C91"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</w:rPr>
              <w:t xml:space="preserve"> end</w:t>
            </w:r>
            <w:r w:rsidR="003D34C6">
              <w:rPr>
                <w:rFonts w:ascii="Calibri" w:eastAsia="Calibri" w:hAnsi="Calibri" w:cs="Calibri"/>
              </w:rPr>
              <w:t>f</w:t>
            </w:r>
            <w:r>
              <w:rPr>
                <w:rFonts w:ascii="Calibri" w:eastAsia="Calibri" w:hAnsi="Calibri" w:cs="Calibri"/>
              </w:rPr>
              <w:t>or %}</w:t>
            </w:r>
          </w:p>
        </w:tc>
      </w:tr>
    </w:tbl>
    <w:p w14:paraId="0973AF5B" w14:textId="77777777" w:rsidR="002245BB" w:rsidRDefault="002245BB">
      <w:pPr>
        <w:widowControl w:val="0"/>
        <w:spacing w:after="0"/>
        <w:jc w:val="center"/>
        <w:rPr>
          <w:rFonts w:ascii="Calibri" w:eastAsia="Calibri" w:hAnsi="Calibri" w:cs="Calibri"/>
          <w:sz w:val="12"/>
          <w:szCs w:val="12"/>
        </w:rPr>
        <w:sectPr w:rsidR="002245BB">
          <w:headerReference w:type="default" r:id="rId9"/>
          <w:pgSz w:w="12240" w:h="15840"/>
          <w:pgMar w:top="720" w:right="720" w:bottom="720" w:left="720" w:header="720" w:footer="720" w:gutter="0"/>
          <w:pgNumType w:start="1"/>
          <w:cols w:space="720"/>
        </w:sectPr>
      </w:pPr>
    </w:p>
    <w:p w14:paraId="361ADBE6" w14:textId="77777777" w:rsidR="002245BB" w:rsidRDefault="002245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sz w:val="4"/>
          <w:szCs w:val="4"/>
        </w:rPr>
      </w:pPr>
    </w:p>
    <w:tbl>
      <w:tblPr>
        <w:tblStyle w:val="affffffff6"/>
        <w:tblW w:w="10632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32"/>
      </w:tblGrid>
      <w:tr w:rsidR="002245BB" w:rsidRPr="00A41842" w14:paraId="3387C657" w14:textId="77777777">
        <w:trPr>
          <w:trHeight w:val="170"/>
        </w:trPr>
        <w:tc>
          <w:tcPr>
            <w:tcW w:w="10632" w:type="dxa"/>
            <w:shd w:val="clear" w:color="auto" w:fill="D9D9D9"/>
            <w:vAlign w:val="center"/>
          </w:tcPr>
          <w:p w14:paraId="3F72D5FB" w14:textId="77777777" w:rsidR="002245BB" w:rsidRPr="0089690C" w:rsidRDefault="002C337D">
            <w:pPr>
              <w:jc w:val="center"/>
              <w:rPr>
                <w:rFonts w:ascii="Calibri" w:eastAsia="Calibri" w:hAnsi="Calibri" w:cs="Calibri"/>
                <w:b/>
                <w:bCs/>
                <w:color w:val="505050"/>
                <w:lang w:val="pt-BR"/>
              </w:rPr>
            </w:pPr>
            <w:r w:rsidRPr="0089690C">
              <w:rPr>
                <w:rFonts w:ascii="Calibri" w:eastAsia="Calibri" w:hAnsi="Calibri" w:cs="Calibri"/>
                <w:b/>
                <w:bCs/>
                <w:color w:val="505050"/>
                <w:lang w:val="pt-BR"/>
              </w:rPr>
              <w:t>OUTROS PRODUTOS QUE RECOMENDAMOS NÃO CONSUMIR</w:t>
            </w:r>
          </w:p>
        </w:tc>
      </w:tr>
      <w:tr w:rsidR="002245BB" w:rsidRPr="00A41842" w14:paraId="3789F964" w14:textId="77777777">
        <w:tc>
          <w:tcPr>
            <w:tcW w:w="10632" w:type="dxa"/>
          </w:tcPr>
          <w:p w14:paraId="7AD0CE5F" w14:textId="77777777" w:rsidR="002245BB" w:rsidRPr="0089690C" w:rsidRDefault="002C337D">
            <w:pPr>
              <w:rPr>
                <w:rFonts w:ascii="Calibri" w:eastAsia="Calibri" w:hAnsi="Calibri" w:cs="Calibri"/>
                <w:lang w:val="pt-BR"/>
              </w:rPr>
            </w:pPr>
            <w:r w:rsidRPr="0089690C">
              <w:rPr>
                <w:rFonts w:ascii="Calibri" w:eastAsia="Calibri" w:hAnsi="Calibri" w:cs="Calibri"/>
                <w:lang w:val="pt-BR"/>
              </w:rPr>
              <w:t>Açúcar, adoçantes, leite de vaca, creme de leite, queijo do tipo frescal, alimentos ultraprocessados, salgadinhos, embutidos, frituras, corantes artificiais, espinafre, óleos vegetais (com exceção de azeite de oliva e óleo de coco), farinhas refinadas, sal refinado (trocar por sal marinho).</w:t>
            </w:r>
          </w:p>
        </w:tc>
      </w:tr>
    </w:tbl>
    <w:p w14:paraId="433133F1" w14:textId="77777777" w:rsidR="002245BB" w:rsidRPr="0089690C" w:rsidRDefault="002245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sz w:val="12"/>
          <w:szCs w:val="12"/>
          <w:lang w:val="pt-BR"/>
        </w:rPr>
      </w:pPr>
    </w:p>
    <w:tbl>
      <w:tblPr>
        <w:tblStyle w:val="affffffff7"/>
        <w:tblW w:w="10632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1"/>
        <w:gridCol w:w="3686"/>
        <w:gridCol w:w="3685"/>
        <w:gridCol w:w="1560"/>
      </w:tblGrid>
      <w:tr w:rsidR="002245BB" w14:paraId="1B971AD2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1A26A62" w14:textId="77777777" w:rsidR="002245BB" w:rsidRDefault="002C337D">
            <w:pPr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PEDRA/CRISTAL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ED81687" w14:textId="77777777" w:rsidR="002245BB" w:rsidRDefault="002C337D">
            <w:pPr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BENEFÍCIOS FÍSICOS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2E52C96" w14:textId="77777777" w:rsidR="002245BB" w:rsidRDefault="002C337D">
            <w:pPr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BENEFÍCIOS EMOCIONAIS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CEC2D6A" w14:textId="77777777" w:rsidR="002245BB" w:rsidRDefault="002C337D">
            <w:pPr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D</w:t>
            </w:r>
          </w:p>
        </w:tc>
      </w:tr>
      <w:tr w:rsidR="00151758" w14:paraId="1C8F2892" w14:textId="77777777" w:rsidTr="00ED5B44">
        <w:tc>
          <w:tcPr>
            <w:tcW w:w="106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0F54C" w14:textId="5C7996B3" w:rsidR="00151758" w:rsidRDefault="00151758" w:rsidP="0015175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{%tr for item in table_crystals%}</w:t>
            </w:r>
          </w:p>
        </w:tc>
      </w:tr>
      <w:tr w:rsidR="002245BB" w14:paraId="105AE8CB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43937" w14:textId="5D68D18D" w:rsidR="002245BB" w:rsidRDefault="009C4C7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{{item.cristal}}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3B419" w14:textId="4F79CEE1" w:rsidR="002245BB" w:rsidRPr="0089690C" w:rsidRDefault="009C4C74">
            <w:pPr>
              <w:rPr>
                <w:rFonts w:ascii="Calibri" w:eastAsia="Calibri" w:hAnsi="Calibri" w:cs="Calibri"/>
                <w:lang w:val="pt-BR"/>
              </w:rPr>
            </w:pPr>
            <w:r>
              <w:rPr>
                <w:rFonts w:ascii="Calibri" w:eastAsia="Calibri" w:hAnsi="Calibri" w:cs="Calibri"/>
                <w:lang w:val="pt-BR"/>
              </w:rPr>
              <w:t>{{item.beneficios_fisicos}}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0D0A3" w14:textId="70D59BE2" w:rsidR="002245BB" w:rsidRPr="0089690C" w:rsidRDefault="009C4C74">
            <w:pPr>
              <w:rPr>
                <w:rFonts w:ascii="Calibri" w:eastAsia="Calibri" w:hAnsi="Calibri" w:cs="Calibri"/>
                <w:lang w:val="pt-BR"/>
              </w:rPr>
            </w:pPr>
            <w:r>
              <w:rPr>
                <w:rFonts w:ascii="Calibri" w:eastAsia="Calibri" w:hAnsi="Calibri" w:cs="Calibri"/>
                <w:lang w:val="pt-BR"/>
              </w:rPr>
              <w:t>{{item.beneficios_emocionais}}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0E7D6" w14:textId="15040880" w:rsidR="002245BB" w:rsidRDefault="009C4C74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{{item.D}}</w:t>
            </w:r>
          </w:p>
        </w:tc>
      </w:tr>
      <w:tr w:rsidR="009C4C74" w14:paraId="1E646B16" w14:textId="77777777" w:rsidTr="00B31698">
        <w:tc>
          <w:tcPr>
            <w:tcW w:w="106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FE015" w14:textId="4F81951E" w:rsidR="009C4C74" w:rsidRDefault="009C4C74" w:rsidP="009C4C7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{%tr endfor%}</w:t>
            </w:r>
          </w:p>
        </w:tc>
      </w:tr>
    </w:tbl>
    <w:p w14:paraId="7FFE5412" w14:textId="77777777" w:rsidR="002245BB" w:rsidRDefault="002245BB">
      <w:pPr>
        <w:spacing w:after="0" w:line="240" w:lineRule="auto"/>
        <w:rPr>
          <w:rFonts w:ascii="Calibri" w:eastAsia="Calibri" w:hAnsi="Calibri" w:cs="Calibri"/>
          <w:b/>
          <w:bCs/>
          <w:sz w:val="28"/>
          <w:szCs w:val="28"/>
        </w:rPr>
      </w:pPr>
    </w:p>
    <w:p w14:paraId="5AEC328B" w14:textId="77777777" w:rsidR="002245BB" w:rsidRPr="0089690C" w:rsidRDefault="002C337D">
      <w:pPr>
        <w:spacing w:after="0" w:line="240" w:lineRule="auto"/>
        <w:rPr>
          <w:color w:val="000000"/>
          <w:sz w:val="24"/>
          <w:szCs w:val="24"/>
          <w:lang w:val="pt-BR"/>
        </w:rPr>
      </w:pPr>
      <w:r w:rsidRPr="0089690C">
        <w:rPr>
          <w:rFonts w:ascii="Calibri" w:eastAsia="Calibri" w:hAnsi="Calibri" w:cs="Calibri"/>
          <w:b/>
          <w:bCs/>
          <w:lang w:val="pt-BR"/>
        </w:rPr>
        <w:t>Relatório elaborado por:</w:t>
      </w:r>
      <w:r w:rsidRPr="0089690C">
        <w:rPr>
          <w:rFonts w:ascii="Calibri" w:eastAsia="Calibri" w:hAnsi="Calibri" w:cs="Calibri"/>
          <w:b/>
          <w:bCs/>
          <w:lang w:val="pt-BR"/>
        </w:rPr>
        <w:br/>
      </w:r>
      <w:r w:rsidRPr="0089690C">
        <w:rPr>
          <w:rFonts w:ascii="Calibri" w:eastAsia="Calibri" w:hAnsi="Calibri" w:cs="Calibri"/>
          <w:lang w:val="pt-BR"/>
        </w:rPr>
        <w:t>Profa. Dra. Ana Maria Torres Alvarez – CRTH-BR: 16315    -   Data</w:t>
      </w:r>
      <w:r w:rsidRPr="0089690C">
        <w:rPr>
          <w:rFonts w:ascii="Calibri" w:eastAsia="Calibri" w:hAnsi="Calibri" w:cs="Calibri"/>
          <w:b/>
          <w:bCs/>
          <w:lang w:val="pt-BR"/>
        </w:rPr>
        <w:t>: 25/11/2025</w:t>
      </w:r>
      <w:r w:rsidRPr="0089690C">
        <w:rPr>
          <w:rFonts w:ascii="Calibri" w:eastAsia="Calibri" w:hAnsi="Calibri" w:cs="Calibri"/>
          <w:lang w:val="pt-BR"/>
        </w:rPr>
        <w:br/>
      </w:r>
      <w:r w:rsidRPr="0089690C">
        <w:rPr>
          <w:rFonts w:ascii="Calibri" w:eastAsia="Calibri" w:hAnsi="Calibri" w:cs="Calibri"/>
          <w:lang w:val="pt-BR"/>
        </w:rPr>
        <w:br/>
      </w:r>
      <w:r w:rsidRPr="0089690C">
        <w:rPr>
          <w:rFonts w:ascii="Calibri" w:eastAsia="Calibri" w:hAnsi="Calibri" w:cs="Calibri"/>
          <w:b/>
          <w:bCs/>
          <w:lang w:val="pt-BR"/>
        </w:rPr>
        <w:t>Bienestar - Terapias Biofísicas</w:t>
      </w:r>
      <w:r w:rsidRPr="0089690C">
        <w:rPr>
          <w:rFonts w:ascii="Calibri" w:eastAsia="Calibri" w:hAnsi="Calibri" w:cs="Calibri"/>
          <w:b/>
          <w:bCs/>
          <w:lang w:val="pt-BR"/>
        </w:rPr>
        <w:br/>
      </w:r>
      <w:r w:rsidRPr="0089690C">
        <w:rPr>
          <w:rFonts w:ascii="Calibri" w:eastAsia="Calibri" w:hAnsi="Calibri" w:cs="Calibri"/>
          <w:lang w:val="pt-BR"/>
        </w:rPr>
        <w:t>Rua Nabuco de Araújo, 28 - Boqueirão, Santos/SP</w:t>
      </w:r>
      <w:r w:rsidRPr="0089690C">
        <w:rPr>
          <w:rFonts w:ascii="Calibri" w:eastAsia="Calibri" w:hAnsi="Calibri" w:cs="Calibri"/>
          <w:lang w:val="pt-BR"/>
        </w:rPr>
        <w:br/>
        <w:t>Email: bienestarsantos@gmail.com | Instagram: @bienestarsantos  -    WhatsApp: (13) 99147-4404</w:t>
      </w:r>
    </w:p>
    <w:sectPr w:rsidR="002245BB" w:rsidRPr="0089690C">
      <w:type w:val="continuous"/>
      <w:pgSz w:w="12240" w:h="15840"/>
      <w:pgMar w:top="1440" w:right="1080" w:bottom="144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8E4AB6" w14:textId="77777777" w:rsidR="00DB2B80" w:rsidRDefault="00DB2B80">
      <w:pPr>
        <w:spacing w:after="0" w:line="240" w:lineRule="auto"/>
      </w:pPr>
      <w:r>
        <w:separator/>
      </w:r>
    </w:p>
  </w:endnote>
  <w:endnote w:type="continuationSeparator" w:id="0">
    <w:p w14:paraId="3CE7E8AB" w14:textId="77777777" w:rsidR="00DB2B80" w:rsidRDefault="00DB2B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0F1EA9CB-A493-4BB5-9F30-38C91E397C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FC385B8-3B2C-47D6-87EF-7606ABA84E37}"/>
    <w:embedBold r:id="rId3" w:fontKey="{2A48532A-CF57-474D-897A-A1E762FF913D}"/>
    <w:embedItalic r:id="rId4" w:fontKey="{E84BF6DD-1B61-4A95-A080-51CBFBAC32DE}"/>
    <w:embedBoldItalic r:id="rId5" w:fontKey="{B512E53C-4449-4C79-BBB0-91E9D45595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5273E7E-3259-4556-985D-9ED6C7FD2288}"/>
    <w:embedBold r:id="rId7" w:fontKey="{A65B8737-0035-46FA-8E6F-5BC085D128A0}"/>
    <w:embedItalic r:id="rId8" w:fontKey="{245A4C83-E26A-4DCF-98F0-D734E5559F8F}"/>
    <w:embedBoldItalic r:id="rId9" w:fontKey="{57B23061-D3C2-4A00-9A30-71335184F8D2}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2908DE" w14:textId="77777777" w:rsidR="00DB2B80" w:rsidRDefault="00DB2B80">
      <w:pPr>
        <w:spacing w:after="0" w:line="240" w:lineRule="auto"/>
      </w:pPr>
      <w:r>
        <w:separator/>
      </w:r>
    </w:p>
  </w:footnote>
  <w:footnote w:type="continuationSeparator" w:id="0">
    <w:p w14:paraId="2C5E6B7E" w14:textId="77777777" w:rsidR="00DB2B80" w:rsidRDefault="00DB2B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AA3A32" w14:textId="77777777" w:rsidR="002245BB" w:rsidRDefault="002C337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t xml:space="preserve">Página </w:t>
    </w:r>
    <w:r>
      <w:rPr>
        <w:rFonts w:ascii="Calibri" w:eastAsia="Calibri" w:hAnsi="Calibri" w:cs="Calibri"/>
        <w:b/>
        <w:bCs/>
        <w:color w:val="000000"/>
      </w:rPr>
      <w:fldChar w:fldCharType="begin"/>
    </w:r>
    <w:r>
      <w:rPr>
        <w:rFonts w:ascii="Calibri" w:eastAsia="Calibri" w:hAnsi="Calibri" w:cs="Calibri"/>
        <w:b/>
        <w:bCs/>
        <w:color w:val="000000"/>
      </w:rPr>
      <w:instrText>PAGE</w:instrText>
    </w:r>
    <w:r>
      <w:rPr>
        <w:rFonts w:ascii="Calibri" w:eastAsia="Calibri" w:hAnsi="Calibri" w:cs="Calibri"/>
        <w:b/>
        <w:bCs/>
        <w:color w:val="000000"/>
      </w:rPr>
      <w:fldChar w:fldCharType="separate"/>
    </w:r>
    <w:r w:rsidR="00A95B71">
      <w:rPr>
        <w:rFonts w:ascii="Calibri" w:eastAsia="Calibri" w:hAnsi="Calibri" w:cs="Calibri"/>
        <w:b/>
        <w:bCs/>
        <w:noProof/>
        <w:color w:val="000000"/>
      </w:rPr>
      <w:t>1</w:t>
    </w:r>
    <w:r>
      <w:rPr>
        <w:rFonts w:ascii="Calibri" w:eastAsia="Calibri" w:hAnsi="Calibri" w:cs="Calibri"/>
        <w:b/>
        <w:bCs/>
        <w:color w:val="000000"/>
      </w:rPr>
      <w:fldChar w:fldCharType="end"/>
    </w:r>
    <w:r>
      <w:rPr>
        <w:rFonts w:ascii="Calibri" w:eastAsia="Calibri" w:hAnsi="Calibri" w:cs="Calibri"/>
        <w:color w:val="000000"/>
      </w:rPr>
      <w:t xml:space="preserve"> de </w:t>
    </w:r>
    <w:r>
      <w:rPr>
        <w:rFonts w:ascii="Calibri" w:eastAsia="Calibri" w:hAnsi="Calibri" w:cs="Calibri"/>
        <w:b/>
        <w:bCs/>
        <w:color w:val="000000"/>
      </w:rPr>
      <w:fldChar w:fldCharType="begin"/>
    </w:r>
    <w:r>
      <w:rPr>
        <w:rFonts w:ascii="Calibri" w:eastAsia="Calibri" w:hAnsi="Calibri" w:cs="Calibri"/>
        <w:b/>
        <w:bCs/>
        <w:color w:val="000000"/>
      </w:rPr>
      <w:instrText>NUMPAGES</w:instrText>
    </w:r>
    <w:r>
      <w:rPr>
        <w:rFonts w:ascii="Calibri" w:eastAsia="Calibri" w:hAnsi="Calibri" w:cs="Calibri"/>
        <w:b/>
        <w:bCs/>
        <w:color w:val="000000"/>
      </w:rPr>
      <w:fldChar w:fldCharType="separate"/>
    </w:r>
    <w:r w:rsidR="00A95B71">
      <w:rPr>
        <w:rFonts w:ascii="Calibri" w:eastAsia="Calibri" w:hAnsi="Calibri" w:cs="Calibri"/>
        <w:b/>
        <w:bCs/>
        <w:noProof/>
        <w:color w:val="000000"/>
      </w:rPr>
      <w:t>2</w:t>
    </w:r>
    <w:r>
      <w:rPr>
        <w:rFonts w:ascii="Calibri" w:eastAsia="Calibri" w:hAnsi="Calibri" w:cs="Calibri"/>
        <w:b/>
        <w:bCs/>
        <w:color w:val="000000"/>
      </w:rPr>
      <w:fldChar w:fldCharType="end"/>
    </w:r>
  </w:p>
  <w:p w14:paraId="6B8745CF" w14:textId="77777777" w:rsidR="002245BB" w:rsidRDefault="002245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27332"/>
    <w:multiLevelType w:val="hybridMultilevel"/>
    <w:tmpl w:val="C480DF40"/>
    <w:lvl w:ilvl="0" w:tplc="0416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AE3B7E"/>
    <w:multiLevelType w:val="multilevel"/>
    <w:tmpl w:val="24FE91DC"/>
    <w:lvl w:ilvl="0">
      <w:start w:val="1"/>
      <w:numFmt w:val="bullet"/>
      <w:pStyle w:val="Commarcadores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83691717">
    <w:abstractNumId w:val="1"/>
  </w:num>
  <w:num w:numId="2" w16cid:durableId="198207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5BB"/>
    <w:rsid w:val="000311EE"/>
    <w:rsid w:val="00151758"/>
    <w:rsid w:val="002245BB"/>
    <w:rsid w:val="002326C8"/>
    <w:rsid w:val="002C337D"/>
    <w:rsid w:val="00323A10"/>
    <w:rsid w:val="003D34C6"/>
    <w:rsid w:val="005845DA"/>
    <w:rsid w:val="00616C91"/>
    <w:rsid w:val="00647C80"/>
    <w:rsid w:val="00841E0E"/>
    <w:rsid w:val="008463C6"/>
    <w:rsid w:val="008745FD"/>
    <w:rsid w:val="0089690C"/>
    <w:rsid w:val="008972C0"/>
    <w:rsid w:val="008A7B2F"/>
    <w:rsid w:val="00900B74"/>
    <w:rsid w:val="009B6E1B"/>
    <w:rsid w:val="009C4C74"/>
    <w:rsid w:val="00A4026D"/>
    <w:rsid w:val="00A41842"/>
    <w:rsid w:val="00A80BBA"/>
    <w:rsid w:val="00A95B71"/>
    <w:rsid w:val="00AE0710"/>
    <w:rsid w:val="00BD43A7"/>
    <w:rsid w:val="00C46F6E"/>
    <w:rsid w:val="00C6709B"/>
    <w:rsid w:val="00CC1B94"/>
    <w:rsid w:val="00DB2B80"/>
    <w:rsid w:val="00E64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8532E"/>
  <w15:docId w15:val="{40E14FC0-CCB5-417B-ACD1-C00565B33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4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5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6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7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8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9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har">
    <w:name w:val="Título Char"/>
    <w:basedOn w:val="Fontepargpadr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har">
    <w:name w:val="Subtítulo Char"/>
    <w:basedOn w:val="Fontepargpadr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next w:val="Normal"/>
    <w:uiPriority w:val="39"/>
    <w:semiHidden/>
    <w:unhideWhenUsed/>
    <w:qFormat/>
    <w:rsid w:val="00FC693F"/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relative">
    <w:name w:val="relative"/>
    <w:basedOn w:val="Fontepargpadro"/>
    <w:rsid w:val="002165D5"/>
  </w:style>
  <w:style w:type="table" w:customStyle="1" w:styleId="a6">
    <w:basedOn w:val="TableNormalf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e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e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c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1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c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a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Tabelacomgrade1">
    <w:name w:val="Tabela com grade1"/>
    <w:basedOn w:val="Tabelanormal"/>
    <w:next w:val="Tabelacomgrade"/>
    <w:uiPriority w:val="59"/>
    <w:rsid w:val="00017E2F"/>
    <w:pPr>
      <w:spacing w:after="0" w:line="240" w:lineRule="auto"/>
    </w:pPr>
    <w:rPr>
      <w:rFonts w:asciiTheme="minorHAnsi" w:eastAsiaTheme="minorEastAsia" w:hAnsiTheme="minorHAnsi" w:cstheme="minorBid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2">
    <w:basedOn w:val="TableNormala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3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4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5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6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7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8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9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a">
    <w:basedOn w:val="TableNormal9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b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c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d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e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0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1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8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3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4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5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6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7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8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9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a">
    <w:basedOn w:val="TableNormal8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b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c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d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e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0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1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2">
    <w:basedOn w:val="TableNormal8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3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4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5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6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7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8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9">
    <w:basedOn w:val="TableNormal8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a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b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c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d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e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0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1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2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3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4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5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6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7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8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9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a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b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c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d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e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0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1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2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3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4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5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6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7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8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9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a">
    <w:basedOn w:val="TableNormal5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b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c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d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e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0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1">
    <w:basedOn w:val="TableNormal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47BD8"/>
    <w:rPr>
      <w:rFonts w:ascii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ffffffff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3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4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Rh6qB16YFgczjzxyVSGtOW3B2w==">CgMxLjAyDmguMWMxb2N3Z3B1MzR3Mg5oLmF2eTVmMmJlM2UwbDgAciExSkJZOWw4YnlDYUdQMC1mdi1EZV9mdEFUSW9OQ1FiQnQ=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3</Pages>
  <Words>1260</Words>
  <Characters>6806</Characters>
  <Application>Microsoft Office Word</Application>
  <DocSecurity>0</DocSecurity>
  <Lines>56</Lines>
  <Paragraphs>16</Paragraphs>
  <ScaleCrop>false</ScaleCrop>
  <Company/>
  <LinksUpToDate>false</LinksUpToDate>
  <CharactersWithSpaces>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Leonardo Leme Sanner</cp:lastModifiedBy>
  <cp:revision>19</cp:revision>
  <dcterms:created xsi:type="dcterms:W3CDTF">2025-11-27T00:36:00Z</dcterms:created>
  <dcterms:modified xsi:type="dcterms:W3CDTF">2025-11-28T12:10:00Z</dcterms:modified>
</cp:coreProperties>
</file>